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8" w:rsidRPr="00AE2AA1" w:rsidRDefault="00AE2AA1">
      <w:pPr>
        <w:rPr>
          <w:rFonts w:hint="eastAsia"/>
          <w:b/>
          <w:sz w:val="32"/>
          <w:szCs w:val="32"/>
        </w:rPr>
      </w:pPr>
      <w:r w:rsidRPr="00AE2AA1">
        <w:rPr>
          <w:rFonts w:hint="eastAsia"/>
          <w:b/>
          <w:sz w:val="32"/>
          <w:szCs w:val="32"/>
        </w:rPr>
        <w:t>毕业生的规模、结构、就业率、就业流向</w:t>
      </w:r>
      <w:r w:rsidRPr="00AE2AA1">
        <w:rPr>
          <w:rFonts w:hint="eastAsia"/>
          <w:b/>
          <w:sz w:val="32"/>
          <w:szCs w:val="32"/>
        </w:rPr>
        <w:t>:</w:t>
      </w:r>
    </w:p>
    <w:p w:rsidR="00AE2AA1" w:rsidRDefault="00AE2AA1" w:rsidP="00AE2AA1">
      <w:pPr>
        <w:ind w:firstLineChars="200" w:firstLine="562"/>
        <w:jc w:val="center"/>
        <w:rPr>
          <w:rFonts w:ascii="仿宋_GB2312" w:eastAsia="仿宋_GB2312" w:hAnsi="华文仿宋"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届</w:t>
      </w:r>
      <w:r w:rsidRPr="00044E42">
        <w:rPr>
          <w:rFonts w:hint="eastAsia"/>
          <w:b/>
          <w:sz w:val="28"/>
          <w:szCs w:val="28"/>
        </w:rPr>
        <w:t>毕业生就业基本情况</w:t>
      </w:r>
      <w:bookmarkStart w:id="0" w:name="_GoBack"/>
      <w:bookmarkEnd w:id="0"/>
    </w:p>
    <w:p w:rsidR="00AE2AA1" w:rsidRPr="009117FA" w:rsidRDefault="00AE2AA1" w:rsidP="00AE2AA1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9117FA">
        <w:rPr>
          <w:rFonts w:asciiTheme="minorEastAsia" w:eastAsiaTheme="minorEastAsia" w:hAnsiTheme="minorEastAsia" w:hint="eastAsia"/>
          <w:b/>
          <w:sz w:val="28"/>
          <w:szCs w:val="28"/>
        </w:rPr>
        <w:t>就业规模及结构</w:t>
      </w:r>
    </w:p>
    <w:p w:rsidR="00AE2AA1" w:rsidRDefault="00AE2AA1" w:rsidP="00AE2AA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1.2016届毕业生总体就业情况统计表</w:t>
      </w:r>
    </w:p>
    <w:p w:rsidR="00AE2AA1" w:rsidRPr="00976C05" w:rsidRDefault="00AE2AA1" w:rsidP="00AE2AA1">
      <w:pPr>
        <w:jc w:val="center"/>
        <w:rPr>
          <w:rFonts w:asciiTheme="minorEastAsia" w:hAnsiTheme="minorEastAsia"/>
          <w:szCs w:val="21"/>
        </w:rPr>
      </w:pPr>
      <w:r w:rsidRPr="00976C05">
        <w:rPr>
          <w:rFonts w:asciiTheme="minorEastAsia" w:hAnsiTheme="minorEastAsia" w:hint="eastAsia"/>
          <w:szCs w:val="21"/>
        </w:rPr>
        <w:t>表2-1  201</w:t>
      </w:r>
      <w:r>
        <w:rPr>
          <w:rFonts w:asciiTheme="minorEastAsia" w:hAnsiTheme="minorEastAsia" w:hint="eastAsia"/>
          <w:szCs w:val="21"/>
        </w:rPr>
        <w:t>6</w:t>
      </w:r>
      <w:r w:rsidRPr="00976C05">
        <w:rPr>
          <w:rFonts w:asciiTheme="minorEastAsia" w:hAnsiTheme="minorEastAsia" w:hint="eastAsia"/>
          <w:szCs w:val="21"/>
        </w:rPr>
        <w:t>届毕业生总体就业情况统计表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3"/>
        <w:gridCol w:w="2125"/>
        <w:gridCol w:w="670"/>
        <w:gridCol w:w="1594"/>
        <w:gridCol w:w="1362"/>
        <w:gridCol w:w="1178"/>
      </w:tblGrid>
      <w:tr w:rsidR="00AE2AA1" w:rsidRPr="0008293B" w:rsidTr="00C32615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二级学院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1" w:name="RANGE!B1:F48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专业</w:t>
            </w:r>
            <w:bookmarkEnd w:id="1"/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学制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参加就业人数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已就业人数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就业率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电梯工程学院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电梯工程技术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98.55%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材料工程技术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电梯工程技术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166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机电一体化技术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电梯工程学院汇总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99.78%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管理工程学院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电子商务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商务管理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物流管理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184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99.46%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物业管理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管理工程学院汇总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433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99.77%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机电工程学院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摩托车制造与维修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电气自动化技术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电子信息工程技术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模具设计与制造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汽车运用技术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129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128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99.22%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数控技术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通信技术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应用电子技术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机电工程学院汇总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478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477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99.79%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建筑工程学院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292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工程造价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269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环境艺术设计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233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建筑设备工程技术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建筑设计技术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建筑工程学院汇总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1010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1010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人文艺术学院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产品造型设计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旅游英语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95.83%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商务英语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252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98.81%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视觉传达艺术设计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室内设计技术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文秘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人文艺术学院汇总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681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676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99.27%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外语经贸</w:t>
            </w:r>
            <w:proofErr w:type="gramEnd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财务管理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161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会计电算化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448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447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99.78%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经济管理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经济管理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proofErr w:type="gramStart"/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外语经贸</w:t>
            </w:r>
            <w:proofErr w:type="gramEnd"/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975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99.9%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信息工程学院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计算机多媒体技术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动漫设计</w:t>
            </w:r>
            <w:proofErr w:type="gramEnd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与制作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计算机多媒体技术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计算机网络技术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计算机应用技术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软件技术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物联网应用技术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AA1" w:rsidRPr="0008293B" w:rsidRDefault="00AE2AA1" w:rsidP="00C3261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信息工程学院汇总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398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398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bCs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85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总计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bCs/>
                <w:sz w:val="24"/>
                <w:szCs w:val="24"/>
              </w:rPr>
              <w:t>4425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bCs/>
                <w:sz w:val="24"/>
                <w:szCs w:val="24"/>
              </w:rPr>
              <w:t>4416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bCs/>
                <w:sz w:val="24"/>
                <w:szCs w:val="24"/>
              </w:rPr>
              <w:t>99.80%</w:t>
            </w:r>
          </w:p>
        </w:tc>
      </w:tr>
    </w:tbl>
    <w:p w:rsidR="00AE2AA1" w:rsidRDefault="00AE2AA1" w:rsidP="00AE2AA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2.2016届毕业生就业结构分析</w:t>
      </w: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2016年参加就业毕业生共4425人，包括3年制专科学历毕业生4039人及2</w:t>
      </w:r>
      <w:r w:rsidRPr="00584C19">
        <w:rPr>
          <w:rFonts w:asciiTheme="minorEastAsia" w:hAnsiTheme="minorEastAsia" w:hint="eastAsia"/>
          <w:sz w:val="28"/>
          <w:szCs w:val="28"/>
        </w:rPr>
        <w:t>年制专科学历毕业生</w:t>
      </w:r>
      <w:r>
        <w:rPr>
          <w:rFonts w:asciiTheme="minorEastAsia" w:hAnsiTheme="minorEastAsia" w:hint="eastAsia"/>
          <w:sz w:val="28"/>
          <w:szCs w:val="28"/>
        </w:rPr>
        <w:t>386人，其中男生2438人，占55.10%，女生1987人，占44.90%，从生源地构成来看，基本上是来自广东省内，占97.47%，其中来自农村和城镇的比例各占一半。</w:t>
      </w:r>
    </w:p>
    <w:p w:rsidR="00AE2AA1" w:rsidRDefault="00AE2AA1" w:rsidP="00AE2AA1">
      <w:pPr>
        <w:rPr>
          <w:rFonts w:asciiTheme="minorEastAsia" w:hAnsiTheme="minorEastAsia"/>
          <w:b/>
          <w:sz w:val="28"/>
          <w:szCs w:val="28"/>
        </w:rPr>
      </w:pPr>
      <w:r w:rsidRPr="009117FA">
        <w:rPr>
          <w:rFonts w:asciiTheme="minorEastAsia" w:hAnsiTheme="minorEastAsia" w:hint="eastAsia"/>
          <w:b/>
          <w:sz w:val="28"/>
          <w:szCs w:val="28"/>
        </w:rPr>
        <w:t>二、毕业生就业率</w:t>
      </w:r>
    </w:p>
    <w:p w:rsidR="00AE2AA1" w:rsidRPr="00F87FA3" w:rsidRDefault="00AE2AA1" w:rsidP="00AE2AA1">
      <w:pPr>
        <w:ind w:leftChars="-5" w:left="-10" w:firstLineChars="200" w:firstLine="560"/>
        <w:rPr>
          <w:rFonts w:asciiTheme="minorEastAsia" w:hAnsiTheme="minorEastAsia"/>
          <w:sz w:val="28"/>
          <w:szCs w:val="28"/>
        </w:rPr>
      </w:pPr>
      <w:r w:rsidRPr="00F87FA3">
        <w:rPr>
          <w:rFonts w:asciiTheme="minorEastAsia" w:hAnsiTheme="minorEastAsia" w:hint="eastAsia"/>
          <w:sz w:val="28"/>
          <w:szCs w:val="28"/>
        </w:rPr>
        <w:t>就业率={签约就业人数+升学人数+国（境）外留学人数+应征入伍人数+事实就业人数}/毕业生人数*100%</w:t>
      </w:r>
    </w:p>
    <w:p w:rsidR="00AE2AA1" w:rsidRDefault="00AE2AA1" w:rsidP="00AE2AA1">
      <w:pPr>
        <w:spacing w:line="360" w:lineRule="auto"/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2016届毕业生总体就业率为99.80%，与2015年同期相比基本持平（2015年毕业生总体就业率99.69%）。</w:t>
      </w:r>
    </w:p>
    <w:p w:rsidR="00AE2AA1" w:rsidRDefault="00AE2AA1" w:rsidP="00AE2AA1">
      <w:pPr>
        <w:jc w:val="center"/>
        <w:rPr>
          <w:rFonts w:asciiTheme="minorEastAsia" w:hAnsiTheme="minorEastAsia"/>
          <w:szCs w:val="21"/>
        </w:rPr>
      </w:pPr>
      <w:r w:rsidRPr="001816F5">
        <w:rPr>
          <w:rFonts w:asciiTheme="minorEastAsia" w:hAnsiTheme="minorEastAsia" w:hint="eastAsia"/>
          <w:szCs w:val="21"/>
        </w:rPr>
        <w:t>表2-2  各二级学院毕业生就业率统计表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2"/>
        <w:gridCol w:w="2170"/>
        <w:gridCol w:w="1856"/>
        <w:gridCol w:w="1604"/>
      </w:tblGrid>
      <w:tr w:rsidR="00AE2AA1" w:rsidRPr="0008293B" w:rsidTr="00C32615">
        <w:trPr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2" w:name="RANGE!A1:D9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二级学院</w:t>
            </w:r>
            <w:bookmarkEnd w:id="2"/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参加就业人数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已就业人数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就业率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电梯工程学院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449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99.78%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管理工程学院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432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99.77%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机电工程学院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478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477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99.79%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建筑工程学院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人文艺术学院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681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676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99.27%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外语经贸</w:t>
            </w:r>
            <w:proofErr w:type="gramEnd"/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974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99.9%</w:t>
            </w:r>
          </w:p>
        </w:tc>
      </w:tr>
      <w:tr w:rsidR="00AE2AA1" w:rsidRPr="0008293B" w:rsidTr="00C32615">
        <w:trPr>
          <w:trHeight w:val="2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信息工程学院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398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398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829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</w:tr>
      <w:tr w:rsidR="00AE2AA1" w:rsidRPr="0008293B" w:rsidTr="00C32615">
        <w:trPr>
          <w:trHeight w:val="28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总计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sz w:val="24"/>
                <w:szCs w:val="24"/>
              </w:rPr>
              <w:t>4425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sz w:val="24"/>
                <w:szCs w:val="24"/>
              </w:rPr>
              <w:t>4416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A1" w:rsidRPr="0008293B" w:rsidRDefault="00AE2AA1" w:rsidP="00C326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293B">
              <w:rPr>
                <w:rFonts w:ascii="宋体" w:eastAsia="宋体" w:hAnsi="宋体" w:cs="宋体" w:hint="eastAsia"/>
                <w:sz w:val="24"/>
                <w:szCs w:val="24"/>
              </w:rPr>
              <w:t>99.80%</w:t>
            </w:r>
          </w:p>
        </w:tc>
      </w:tr>
    </w:tbl>
    <w:p w:rsidR="00AE2AA1" w:rsidRDefault="00AE2AA1" w:rsidP="00AE2AA1">
      <w:pPr>
        <w:jc w:val="center"/>
        <w:rPr>
          <w:rFonts w:asciiTheme="minorEastAsia" w:hAnsiTheme="minorEastAsia"/>
          <w:szCs w:val="21"/>
        </w:rPr>
      </w:pPr>
    </w:p>
    <w:p w:rsidR="00AE2AA1" w:rsidRDefault="00AE2AA1" w:rsidP="00AE2AA1">
      <w:pPr>
        <w:jc w:val="center"/>
        <w:rPr>
          <w:rFonts w:ascii="宋体" w:eastAsia="宋体" w:hAnsi="宋体" w:cs="宋体"/>
          <w:noProof/>
          <w:sz w:val="24"/>
          <w:szCs w:val="24"/>
        </w:rPr>
      </w:pPr>
      <w:r w:rsidRPr="001816F5">
        <w:rPr>
          <w:rFonts w:asciiTheme="minorEastAsia" w:hAnsiTheme="minorEastAsia" w:hint="eastAsia"/>
          <w:szCs w:val="21"/>
        </w:rPr>
        <w:t>图2-1   各二级学院毕业生就业率</w:t>
      </w:r>
      <w:r>
        <w:rPr>
          <w:rFonts w:asciiTheme="minorEastAsia" w:hAnsiTheme="minorEastAsia" w:hint="eastAsia"/>
          <w:szCs w:val="21"/>
        </w:rPr>
        <w:t>情况</w:t>
      </w:r>
    </w:p>
    <w:p w:rsidR="00AE2AA1" w:rsidRDefault="00AE2AA1" w:rsidP="00AE2AA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012A9B8A" wp14:editId="5A9D9E7A">
            <wp:extent cx="5276850" cy="16954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2AA1" w:rsidRPr="00527D4A" w:rsidRDefault="00AE2AA1" w:rsidP="00AE2AA1">
      <w:pPr>
        <w:rPr>
          <w:rFonts w:ascii="仿宋_GB2312" w:eastAsia="仿宋_GB2312" w:hAnsi="华文仿宋"/>
          <w:b/>
          <w:sz w:val="28"/>
          <w:szCs w:val="28"/>
        </w:rPr>
      </w:pPr>
      <w:r w:rsidRPr="00527D4A">
        <w:rPr>
          <w:rFonts w:asciiTheme="minorEastAsia" w:hAnsiTheme="minorEastAsia" w:hint="eastAsia"/>
          <w:b/>
          <w:sz w:val="28"/>
          <w:szCs w:val="28"/>
        </w:rPr>
        <w:t>三、毕业生就业</w:t>
      </w:r>
      <w:r w:rsidRPr="00527D4A">
        <w:rPr>
          <w:rFonts w:ascii="仿宋_GB2312" w:eastAsia="仿宋_GB2312" w:hAnsi="华文仿宋" w:hint="eastAsia"/>
          <w:b/>
          <w:sz w:val="28"/>
          <w:szCs w:val="28"/>
        </w:rPr>
        <w:t>地域分布</w:t>
      </w: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75BA0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075BA0">
        <w:rPr>
          <w:rFonts w:asciiTheme="minorEastAsia" w:hAnsiTheme="minorEastAsia" w:hint="eastAsia"/>
          <w:sz w:val="28"/>
          <w:szCs w:val="28"/>
        </w:rPr>
        <w:t>届毕业生主要流向仍为广东省，占毕业生总数的96.</w:t>
      </w:r>
      <w:r>
        <w:rPr>
          <w:rFonts w:asciiTheme="minorEastAsia" w:hAnsiTheme="minorEastAsia" w:hint="eastAsia"/>
          <w:sz w:val="28"/>
          <w:szCs w:val="28"/>
        </w:rPr>
        <w:t>11</w:t>
      </w:r>
      <w:r w:rsidRPr="00075BA0">
        <w:rPr>
          <w:rFonts w:asciiTheme="minorEastAsia" w:hAnsiTheme="minorEastAsia" w:hint="eastAsia"/>
          <w:sz w:val="28"/>
          <w:szCs w:val="28"/>
        </w:rPr>
        <w:t>%，较201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075BA0">
        <w:rPr>
          <w:rFonts w:asciiTheme="minorEastAsia" w:hAnsiTheme="minorEastAsia" w:hint="eastAsia"/>
          <w:sz w:val="28"/>
          <w:szCs w:val="28"/>
        </w:rPr>
        <w:t>届选择在广东省就业的毕业生比例9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075BA0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78</w:t>
      </w:r>
      <w:r w:rsidRPr="00075BA0">
        <w:rPr>
          <w:rFonts w:asciiTheme="minorEastAsia" w:hAnsiTheme="minorEastAsia" w:hint="eastAsia"/>
          <w:sz w:val="28"/>
          <w:szCs w:val="28"/>
        </w:rPr>
        <w:t>%基本持平，选择广东省以外地区就业人数略有增加，其中主要是福建地区增幅较大。在广东省以外地区，福建、</w:t>
      </w:r>
      <w:r>
        <w:rPr>
          <w:rFonts w:asciiTheme="minorEastAsia" w:hAnsiTheme="minorEastAsia" w:hint="eastAsia"/>
          <w:sz w:val="28"/>
          <w:szCs w:val="28"/>
        </w:rPr>
        <w:t>上海</w:t>
      </w:r>
      <w:r w:rsidRPr="00075BA0">
        <w:rPr>
          <w:rFonts w:asciiTheme="minorEastAsia" w:hAnsiTheme="minorEastAsia" w:hint="eastAsia"/>
          <w:sz w:val="28"/>
          <w:szCs w:val="28"/>
        </w:rPr>
        <w:t>占据前列，分别是1.</w:t>
      </w:r>
      <w:r>
        <w:rPr>
          <w:rFonts w:asciiTheme="minorEastAsia" w:hAnsiTheme="minorEastAsia" w:hint="eastAsia"/>
          <w:sz w:val="28"/>
          <w:szCs w:val="28"/>
        </w:rPr>
        <w:t>83</w:t>
      </w:r>
      <w:r w:rsidRPr="00075BA0">
        <w:rPr>
          <w:rFonts w:asciiTheme="minorEastAsia" w:hAnsiTheme="minorEastAsia" w:hint="eastAsia"/>
          <w:sz w:val="28"/>
          <w:szCs w:val="28"/>
        </w:rPr>
        <w:t>%、0.2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075BA0">
        <w:rPr>
          <w:rFonts w:asciiTheme="minorEastAsia" w:hAnsiTheme="minorEastAsia" w:hint="eastAsia"/>
          <w:sz w:val="28"/>
          <w:szCs w:val="28"/>
        </w:rPr>
        <w:t>%（见图2-2）。</w:t>
      </w: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Pr="00075BA0" w:rsidRDefault="00AE2AA1" w:rsidP="00AE2AA1">
      <w:pPr>
        <w:tabs>
          <w:tab w:val="left" w:pos="945"/>
        </w:tabs>
        <w:jc w:val="center"/>
        <w:rPr>
          <w:rFonts w:asciiTheme="minorEastAsia" w:hAnsiTheme="minorEastAsia" w:cs="宋体"/>
          <w:sz w:val="24"/>
          <w:szCs w:val="24"/>
        </w:rPr>
      </w:pPr>
      <w:r w:rsidRPr="00075BA0">
        <w:rPr>
          <w:rFonts w:asciiTheme="minorEastAsia" w:hAnsiTheme="minorEastAsia" w:hint="eastAsia"/>
          <w:szCs w:val="21"/>
        </w:rPr>
        <w:t>图2-2  毕业生就业地域分布</w:t>
      </w:r>
    </w:p>
    <w:p w:rsidR="00AE2AA1" w:rsidRDefault="00AE2AA1" w:rsidP="00AE2AA1">
      <w:pPr>
        <w:jc w:val="center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noProof/>
          <w:sz w:val="28"/>
          <w:szCs w:val="28"/>
        </w:rPr>
        <w:drawing>
          <wp:inline distT="0" distB="0" distL="0" distR="0" wp14:anchorId="6BD581A4" wp14:editId="78DB5547">
            <wp:extent cx="5276850" cy="202882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75BA0">
        <w:rPr>
          <w:rFonts w:asciiTheme="minorEastAsia" w:hAnsiTheme="minorEastAsia" w:hint="eastAsia"/>
          <w:sz w:val="28"/>
          <w:szCs w:val="28"/>
        </w:rPr>
        <w:t>在广东省内地区分布中，广州为</w:t>
      </w:r>
      <w:r>
        <w:rPr>
          <w:rFonts w:asciiTheme="minorEastAsia" w:hAnsiTheme="minorEastAsia" w:hint="eastAsia"/>
          <w:sz w:val="28"/>
          <w:szCs w:val="28"/>
        </w:rPr>
        <w:t>49.11</w:t>
      </w:r>
      <w:r w:rsidRPr="00075BA0">
        <w:rPr>
          <w:rFonts w:asciiTheme="minorEastAsia" w:hAnsiTheme="minorEastAsia" w:hint="eastAsia"/>
          <w:sz w:val="28"/>
          <w:szCs w:val="28"/>
        </w:rPr>
        <w:t>%，较201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075BA0">
        <w:rPr>
          <w:rFonts w:asciiTheme="minorEastAsia" w:hAnsiTheme="minorEastAsia" w:hint="eastAsia"/>
          <w:sz w:val="28"/>
          <w:szCs w:val="28"/>
        </w:rPr>
        <w:t>年同期的</w:t>
      </w:r>
      <w:r>
        <w:rPr>
          <w:rFonts w:asciiTheme="minorEastAsia" w:hAnsiTheme="minorEastAsia" w:hint="eastAsia"/>
          <w:sz w:val="28"/>
          <w:szCs w:val="28"/>
        </w:rPr>
        <w:t>54.20</w:t>
      </w:r>
      <w:r w:rsidRPr="00075BA0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有一定降幅，跌破五成大关</w:t>
      </w:r>
      <w:r w:rsidRPr="00075BA0">
        <w:rPr>
          <w:rFonts w:asciiTheme="minorEastAsia" w:hAnsiTheme="minorEastAsia" w:hint="eastAsia"/>
          <w:sz w:val="28"/>
          <w:szCs w:val="28"/>
        </w:rPr>
        <w:t>；东莞</w:t>
      </w:r>
      <w:r>
        <w:rPr>
          <w:rFonts w:asciiTheme="minorEastAsia" w:hAnsiTheme="minorEastAsia" w:hint="eastAsia"/>
          <w:sz w:val="28"/>
          <w:szCs w:val="28"/>
        </w:rPr>
        <w:t>12.00%，比例持续上升，继2015</w:t>
      </w:r>
      <w:r>
        <w:rPr>
          <w:rFonts w:asciiTheme="minorEastAsia" w:hAnsiTheme="minorEastAsia" w:hint="eastAsia"/>
          <w:sz w:val="28"/>
          <w:szCs w:val="28"/>
        </w:rPr>
        <w:lastRenderedPageBreak/>
        <w:t>年</w:t>
      </w:r>
      <w:r w:rsidRPr="00075BA0">
        <w:rPr>
          <w:rFonts w:asciiTheme="minorEastAsia" w:hAnsiTheme="minorEastAsia" w:hint="eastAsia"/>
          <w:sz w:val="28"/>
          <w:szCs w:val="28"/>
        </w:rPr>
        <w:t>1个百分点左右</w:t>
      </w:r>
      <w:r>
        <w:rPr>
          <w:rFonts w:asciiTheme="minorEastAsia" w:hAnsiTheme="minorEastAsia" w:hint="eastAsia"/>
          <w:sz w:val="28"/>
          <w:szCs w:val="28"/>
        </w:rPr>
        <w:t>的增长后又增加2个百分点</w:t>
      </w:r>
      <w:r w:rsidRPr="00075BA0">
        <w:rPr>
          <w:rFonts w:asciiTheme="minorEastAsia" w:hAnsiTheme="minorEastAsia" w:hint="eastAsia"/>
          <w:sz w:val="28"/>
          <w:szCs w:val="28"/>
        </w:rPr>
        <w:t>；佛山</w:t>
      </w:r>
      <w:r w:rsidRPr="00075BA0">
        <w:rPr>
          <w:rFonts w:asciiTheme="minorEastAsia" w:hAnsiTheme="minorEastAsia"/>
          <w:sz w:val="28"/>
          <w:szCs w:val="28"/>
        </w:rPr>
        <w:t>9.</w:t>
      </w:r>
      <w:r>
        <w:rPr>
          <w:rFonts w:asciiTheme="minorEastAsia" w:hAnsiTheme="minorEastAsia" w:hint="eastAsia"/>
          <w:sz w:val="28"/>
          <w:szCs w:val="28"/>
        </w:rPr>
        <w:t>63</w:t>
      </w:r>
      <w:r w:rsidRPr="00075BA0">
        <w:rPr>
          <w:rFonts w:asciiTheme="minorEastAsia" w:hAnsiTheme="minorEastAsia" w:hint="eastAsia"/>
          <w:sz w:val="28"/>
          <w:szCs w:val="28"/>
        </w:rPr>
        <w:t>%，与去年持平；深圳</w:t>
      </w:r>
      <w:r>
        <w:rPr>
          <w:rFonts w:asciiTheme="minorEastAsia" w:hAnsiTheme="minorEastAsia" w:hint="eastAsia"/>
          <w:sz w:val="28"/>
          <w:szCs w:val="28"/>
        </w:rPr>
        <w:t>9.22</w:t>
      </w:r>
      <w:r w:rsidRPr="00075BA0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上升0.7</w:t>
      </w:r>
      <w:r w:rsidRPr="00075BA0">
        <w:rPr>
          <w:rFonts w:asciiTheme="minorEastAsia" w:hAnsiTheme="minorEastAsia" w:hint="eastAsia"/>
          <w:sz w:val="28"/>
          <w:szCs w:val="28"/>
        </w:rPr>
        <w:t>个百分点左右，仍保持第四；</w:t>
      </w:r>
      <w:r>
        <w:rPr>
          <w:rFonts w:asciiTheme="minorEastAsia" w:hAnsiTheme="minorEastAsia" w:hint="eastAsia"/>
          <w:sz w:val="28"/>
          <w:szCs w:val="28"/>
        </w:rPr>
        <w:t>珠海3.73%，同期增长1.6%；</w:t>
      </w:r>
      <w:r w:rsidRPr="00075BA0">
        <w:rPr>
          <w:rFonts w:asciiTheme="minorEastAsia" w:hAnsiTheme="minorEastAsia" w:hint="eastAsia"/>
          <w:sz w:val="28"/>
          <w:szCs w:val="28"/>
        </w:rPr>
        <w:t>其他地市的数据与去年</w:t>
      </w:r>
      <w:r>
        <w:rPr>
          <w:rFonts w:asciiTheme="minorEastAsia" w:hAnsiTheme="minorEastAsia" w:hint="eastAsia"/>
          <w:sz w:val="28"/>
          <w:szCs w:val="28"/>
        </w:rPr>
        <w:t>略有增长</w:t>
      </w:r>
      <w:r w:rsidRPr="00075BA0">
        <w:rPr>
          <w:rFonts w:asciiTheme="minorEastAsia" w:hAnsiTheme="minorEastAsia" w:hint="eastAsia"/>
          <w:sz w:val="28"/>
          <w:szCs w:val="28"/>
        </w:rPr>
        <w:t>（见图2-3）。</w:t>
      </w:r>
      <w:r>
        <w:rPr>
          <w:rFonts w:asciiTheme="minorEastAsia" w:hAnsiTheme="minorEastAsia" w:hint="eastAsia"/>
          <w:sz w:val="28"/>
          <w:szCs w:val="28"/>
        </w:rPr>
        <w:t>就业区域选择向中小城市分流现象较为明显。</w:t>
      </w: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Pr="00075BA0" w:rsidRDefault="00AE2AA1" w:rsidP="00AE2A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2AA1" w:rsidRPr="00075BA0" w:rsidRDefault="00AE2AA1" w:rsidP="00AE2AA1">
      <w:pPr>
        <w:jc w:val="center"/>
        <w:rPr>
          <w:rFonts w:asciiTheme="minorEastAsia" w:hAnsiTheme="minorEastAsia"/>
          <w:noProof/>
        </w:rPr>
      </w:pPr>
      <w:r w:rsidRPr="00075BA0">
        <w:rPr>
          <w:rFonts w:asciiTheme="minorEastAsia" w:hAnsiTheme="minorEastAsia" w:hint="eastAsia"/>
          <w:szCs w:val="21"/>
        </w:rPr>
        <w:t>图2-3  毕业生广东省就业地域分布</w:t>
      </w:r>
    </w:p>
    <w:p w:rsidR="00AE2AA1" w:rsidRPr="00075BA0" w:rsidRDefault="00AE2AA1" w:rsidP="00AE2AA1">
      <w:pPr>
        <w:jc w:val="center"/>
        <w:rPr>
          <w:rFonts w:asciiTheme="minorEastAsia" w:hAnsiTheme="minorEastAsia"/>
        </w:rPr>
      </w:pPr>
      <w:r w:rsidRPr="00075BA0">
        <w:rPr>
          <w:rFonts w:asciiTheme="minorEastAsia" w:hAnsiTheme="minorEastAsia"/>
          <w:noProof/>
        </w:rPr>
        <w:drawing>
          <wp:inline distT="0" distB="0" distL="0" distR="0" wp14:anchorId="116389CB" wp14:editId="32A9F41C">
            <wp:extent cx="5276850" cy="359092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2AA1" w:rsidRDefault="00AE2AA1" w:rsidP="00AE2AA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AE2AA1" w:rsidRDefault="00AE2AA1" w:rsidP="00AE2AA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AE2AA1" w:rsidRDefault="00AE2AA1"/>
    <w:sectPr w:rsidR="00AE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D3" w:rsidRDefault="00511CD3" w:rsidP="00AE2AA1">
      <w:r>
        <w:separator/>
      </w:r>
    </w:p>
  </w:endnote>
  <w:endnote w:type="continuationSeparator" w:id="0">
    <w:p w:rsidR="00511CD3" w:rsidRDefault="00511CD3" w:rsidP="00AE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D3" w:rsidRDefault="00511CD3" w:rsidP="00AE2AA1">
      <w:r>
        <w:separator/>
      </w:r>
    </w:p>
  </w:footnote>
  <w:footnote w:type="continuationSeparator" w:id="0">
    <w:p w:rsidR="00511CD3" w:rsidRDefault="00511CD3" w:rsidP="00AE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4E81"/>
    <w:multiLevelType w:val="hybridMultilevel"/>
    <w:tmpl w:val="9A46EEEA"/>
    <w:lvl w:ilvl="0" w:tplc="8390B60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52"/>
    <w:rsid w:val="00511CD3"/>
    <w:rsid w:val="00775952"/>
    <w:rsid w:val="00AE2AA1"/>
    <w:rsid w:val="00D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AA1"/>
    <w:rPr>
      <w:sz w:val="18"/>
      <w:szCs w:val="18"/>
    </w:rPr>
  </w:style>
  <w:style w:type="paragraph" w:styleId="a5">
    <w:name w:val="List Paragraph"/>
    <w:basedOn w:val="a"/>
    <w:uiPriority w:val="34"/>
    <w:qFormat/>
    <w:rsid w:val="00AE2AA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AE2A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2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AA1"/>
    <w:rPr>
      <w:sz w:val="18"/>
      <w:szCs w:val="18"/>
    </w:rPr>
  </w:style>
  <w:style w:type="paragraph" w:styleId="a5">
    <w:name w:val="List Paragraph"/>
    <w:basedOn w:val="a"/>
    <w:uiPriority w:val="34"/>
    <w:qFormat/>
    <w:rsid w:val="00AE2AA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AE2A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2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99.78%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管理工程学院</c:v>
                </c:pt>
                <c:pt idx="1">
                  <c:v>机电工程学院</c:v>
                </c:pt>
                <c:pt idx="2">
                  <c:v>建筑工程学院</c:v>
                </c:pt>
                <c:pt idx="3">
                  <c:v>人文艺术学院</c:v>
                </c:pt>
                <c:pt idx="4">
                  <c:v>外语经贸学院</c:v>
                </c:pt>
                <c:pt idx="5">
                  <c:v>信息工程学院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0.99770000000000003</c:v>
                </c:pt>
                <c:pt idx="1">
                  <c:v>0.99790000000000001</c:v>
                </c:pt>
                <c:pt idx="2" formatCode="0%">
                  <c:v>1</c:v>
                </c:pt>
                <c:pt idx="3">
                  <c:v>0.99270000000000003</c:v>
                </c:pt>
                <c:pt idx="4">
                  <c:v>0.999</c:v>
                </c:pt>
                <c:pt idx="5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464704"/>
        <c:axId val="165765504"/>
      </c:barChart>
      <c:catAx>
        <c:axId val="165464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65765504"/>
        <c:crosses val="autoZero"/>
        <c:auto val="1"/>
        <c:lblAlgn val="ctr"/>
        <c:lblOffset val="100"/>
        <c:noMultiLvlLbl val="0"/>
      </c:catAx>
      <c:valAx>
        <c:axId val="165765504"/>
        <c:scaling>
          <c:orientation val="minMax"/>
          <c:max val="1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65464704"/>
        <c:crosses val="autoZero"/>
        <c:crossBetween val="between"/>
        <c:majorUnit val="5.0000000000000175E-3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1"/>
              <c:layout>
                <c:manualLayout>
                  <c:x val="2.6486687358156801E-2"/>
                  <c:y val="0.3176827123413710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039508485470139"/>
                  <c:y val="-0.3657082555402224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55285335901762E-2"/>
                  <c:y val="-0.22574180804718999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河南省，</a:t>
                    </a:r>
                    <a:r>
                      <a:rPr lang="en-US" altLang="zh-CN"/>
                      <a:t>0.18%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10570671803552E-2"/>
                  <c:y val="0.10319917440660535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6684134986377351E-2"/>
                  <c:y val="6.051519333279216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435033208135194E-2"/>
                  <c:y val="-0.1114551083591331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0.13965807849747194"/>
                  <c:y val="-2.4767801857585141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6614495545388872"/>
                  <c:y val="3.7151702786377909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1895015651337"/>
                  <c:y val="0.14860681114551083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广东省</c:v>
                </c:pt>
                <c:pt idx="1">
                  <c:v>其他</c:v>
                </c:pt>
                <c:pt idx="2">
                  <c:v>福建省</c:v>
                </c:pt>
                <c:pt idx="3">
                  <c:v>河南省</c:v>
                </c:pt>
                <c:pt idx="4">
                  <c:v>广西</c:v>
                </c:pt>
                <c:pt idx="5">
                  <c:v>上海市</c:v>
                </c:pt>
                <c:pt idx="6">
                  <c:v>西藏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0.96112994350282488</c:v>
                </c:pt>
                <c:pt idx="1">
                  <c:v>1.29E-2</c:v>
                </c:pt>
                <c:pt idx="2">
                  <c:v>1.8305084745762711E-2</c:v>
                </c:pt>
                <c:pt idx="3">
                  <c:v>1.807909604519774E-3</c:v>
                </c:pt>
                <c:pt idx="4">
                  <c:v>1.807909604519774E-3</c:v>
                </c:pt>
                <c:pt idx="5">
                  <c:v>2.2598870056497176E-3</c:v>
                </c:pt>
                <c:pt idx="6">
                  <c:v>1.807909604519774E-3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econdPieSize val="75"/>
        <c:serLines/>
      </c:ofPieChart>
    </c:plotArea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广州市</c:v>
                </c:pt>
                <c:pt idx="1">
                  <c:v>东莞市</c:v>
                </c:pt>
                <c:pt idx="2">
                  <c:v>佛山市</c:v>
                </c:pt>
                <c:pt idx="3">
                  <c:v>深圳市</c:v>
                </c:pt>
                <c:pt idx="4">
                  <c:v>珠海市</c:v>
                </c:pt>
                <c:pt idx="5">
                  <c:v>惠州市</c:v>
                </c:pt>
                <c:pt idx="6">
                  <c:v>江门市</c:v>
                </c:pt>
                <c:pt idx="7">
                  <c:v>中山市</c:v>
                </c:pt>
                <c:pt idx="8">
                  <c:v>汕头市</c:v>
                </c:pt>
                <c:pt idx="9">
                  <c:v>其他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0.49107344632768363</c:v>
                </c:pt>
                <c:pt idx="1">
                  <c:v>0.12</c:v>
                </c:pt>
                <c:pt idx="2">
                  <c:v>9.6271186440677961E-2</c:v>
                </c:pt>
                <c:pt idx="3">
                  <c:v>9.2203389830508478E-2</c:v>
                </c:pt>
                <c:pt idx="4">
                  <c:v>3.7288135593220341E-2</c:v>
                </c:pt>
                <c:pt idx="5">
                  <c:v>1.7175141242937852E-2</c:v>
                </c:pt>
                <c:pt idx="6">
                  <c:v>1.4915254237288136E-2</c:v>
                </c:pt>
                <c:pt idx="7">
                  <c:v>1.4463276836158192E-2</c:v>
                </c:pt>
                <c:pt idx="8">
                  <c:v>1.1977401129943503E-2</c:v>
                </c:pt>
                <c:pt idx="9">
                  <c:v>0.11459999999999999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林华开</dc:creator>
  <cp:keywords/>
  <dc:description/>
  <cp:lastModifiedBy>林华开</cp:lastModifiedBy>
  <cp:revision>2</cp:revision>
  <dcterms:created xsi:type="dcterms:W3CDTF">2017-10-16T03:41:00Z</dcterms:created>
  <dcterms:modified xsi:type="dcterms:W3CDTF">2017-10-16T03:43:00Z</dcterms:modified>
</cp:coreProperties>
</file>