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210" w:right="210"/>
        <w:rPr>
          <w:rFonts w:asciiTheme="majorEastAsia" w:hAnsiTheme="majorEastAsia" w:eastAsiaTheme="majorEastAsia"/>
        </w:rPr>
      </w:pPr>
      <w:bookmarkStart w:id="0" w:name="_Toc111411157"/>
      <w:bookmarkStart w:id="1" w:name="_Toc112778817"/>
      <w:bookmarkStart w:id="2" w:name="_Hlk111411500"/>
      <w:r>
        <w:rPr>
          <w:rFonts w:hint="eastAsia" w:asciiTheme="majorEastAsia" w:hAnsiTheme="majorEastAsia" w:eastAsiaTheme="majorEastAsia"/>
        </w:rPr>
        <w:t>广东工程职业技术学院“中国国际‘互联网+’大学生创新创业大赛”组织管理与奖励办法</w:t>
      </w:r>
      <w:bookmarkEnd w:id="0"/>
      <w:bookmarkStart w:id="3" w:name="_Toc111411158"/>
      <w:r>
        <w:rPr>
          <w:rFonts w:hint="eastAsia" w:asciiTheme="majorEastAsia" w:hAnsiTheme="majorEastAsia" w:eastAsiaTheme="majorEastAsia"/>
        </w:rPr>
        <w:t>（试行）</w:t>
      </w:r>
      <w:bookmarkEnd w:id="1"/>
      <w:bookmarkEnd w:id="3"/>
    </w:p>
    <w:bookmarkEnd w:id="2"/>
    <w:p>
      <w:pPr>
        <w:spacing w:line="560" w:lineRule="exact"/>
        <w:jc w:val="center"/>
        <w:rPr>
          <w:rFonts w:ascii="仿宋_GB2312" w:hAnsi="仿宋_GB2312" w:eastAsia="仿宋_GB2312" w:cs="仿宋_GB2312"/>
          <w:b/>
          <w:bCs/>
          <w:sz w:val="36"/>
          <w:szCs w:val="36"/>
        </w:rPr>
      </w:pPr>
      <w:r>
        <w:rPr>
          <w:rFonts w:hint="eastAsia" w:ascii="仿宋_GB2312" w:hAnsi="仿宋_GB2312" w:eastAsia="仿宋_GB2312" w:cs="仿宋_GB2312"/>
          <w:sz w:val="32"/>
          <w:szCs w:val="32"/>
        </w:rPr>
        <w:t>（2022年6月30日校长办公会审定，粤工程职院发〔2022〕91号文公布，自2022年7月22日起施行）</w:t>
      </w:r>
      <w:bookmarkStart w:id="4" w:name="_GoBack"/>
      <w:bookmarkEnd w:id="4"/>
    </w:p>
    <w:p>
      <w:pPr>
        <w:spacing w:line="580" w:lineRule="exact"/>
        <w:ind w:firstLine="555"/>
        <w:rPr>
          <w:rFonts w:ascii="仿宋_GB2312" w:hAnsi="仿宋_GB2312" w:eastAsia="仿宋_GB2312" w:cs="仿宋_GB2312"/>
          <w:sz w:val="32"/>
          <w:szCs w:val="32"/>
        </w:rPr>
      </w:pPr>
    </w:p>
    <w:p>
      <w:pPr>
        <w:spacing w:line="560" w:lineRule="exact"/>
        <w:ind w:firstLine="640" w:firstLineChars="200"/>
        <w:rPr>
          <w:rStyle w:val="6"/>
          <w:rFonts w:ascii="仿宋_GB2312" w:eastAsia="仿宋_GB2312"/>
          <w:b w:val="0"/>
          <w:sz w:val="32"/>
          <w:szCs w:val="32"/>
        </w:rPr>
      </w:pPr>
      <w:r>
        <w:rPr>
          <w:rStyle w:val="6"/>
          <w:rFonts w:hint="eastAsia" w:ascii="仿宋_GB2312" w:eastAsia="仿宋_GB2312"/>
          <w:b w:val="0"/>
          <w:sz w:val="32"/>
          <w:szCs w:val="32"/>
        </w:rPr>
        <w:t>中国国际“互联网+”大学生创新创业大赛（以下简称：“大赛”）是由教育部与有关部委共同主办的全国权威性赛事，旨在深化高等教育综合改革，激发大学生的创造力，培养造就“大众创业、万众创新”的生力军；推动赛事成果转化，促进“互联网+”新业态形成，服务经济提质增效升级；以创新引领创业、创业带动就业，推动高校毕业生更高质量创业就业。为激励我校广大师生积极参与该项赛事，力争取得好成绩，营造良好的创新创业氛围，并结合广东省教育厅关于印发《广东省中国“互联网+”大学生创新创业大赛激励措施》的通知精神，特制定本办法。</w:t>
      </w:r>
    </w:p>
    <w:p>
      <w:pPr>
        <w:spacing w:before="312" w:beforeLines="100" w:after="312" w:afterLines="100" w:line="560" w:lineRule="exact"/>
        <w:jc w:val="center"/>
        <w:rPr>
          <w:rStyle w:val="6"/>
          <w:rFonts w:ascii="黑体" w:hAnsi="黑体" w:eastAsia="黑体" w:cs="黑体"/>
          <w:b w:val="0"/>
          <w:bCs w:val="0"/>
          <w:sz w:val="32"/>
          <w:szCs w:val="32"/>
        </w:rPr>
      </w:pPr>
      <w:r>
        <w:rPr>
          <w:rStyle w:val="6"/>
          <w:rFonts w:hint="eastAsia" w:ascii="黑体" w:hAnsi="黑体" w:eastAsia="黑体" w:cs="黑体"/>
          <w:b w:val="0"/>
          <w:bCs w:val="0"/>
          <w:sz w:val="32"/>
          <w:szCs w:val="32"/>
        </w:rPr>
        <w:t>第一章 组织机构及赛事管理</w:t>
      </w:r>
    </w:p>
    <w:p>
      <w:pPr>
        <w:spacing w:line="560" w:lineRule="exact"/>
        <w:ind w:firstLine="643" w:firstLineChars="200"/>
        <w:rPr>
          <w:rStyle w:val="6"/>
          <w:rFonts w:ascii="仿宋_GB2312" w:eastAsia="仿宋_GB2312"/>
          <w:b w:val="0"/>
          <w:sz w:val="32"/>
          <w:szCs w:val="32"/>
        </w:rPr>
      </w:pPr>
      <w:r>
        <w:rPr>
          <w:rStyle w:val="6"/>
          <w:rFonts w:hint="eastAsia" w:ascii="仿宋_GB2312" w:eastAsia="仿宋_GB2312"/>
          <w:sz w:val="32"/>
          <w:szCs w:val="32"/>
        </w:rPr>
        <w:t>第一条</w:t>
      </w:r>
      <w:r>
        <w:rPr>
          <w:rStyle w:val="6"/>
          <w:rFonts w:hint="eastAsia" w:ascii="仿宋_GB2312" w:eastAsia="仿宋_GB2312"/>
          <w:b w:val="0"/>
          <w:sz w:val="32"/>
          <w:szCs w:val="32"/>
        </w:rPr>
        <w:t>  学校成立大赛组委会，组委会主任由主管创新创业教育工作的校领导担任，成员由教务部、科技部、学生工作部、校团委、创新创业学院等部门负责人组成。</w:t>
      </w:r>
    </w:p>
    <w:p>
      <w:pPr>
        <w:spacing w:line="560" w:lineRule="exact"/>
        <w:ind w:firstLine="643" w:firstLineChars="200"/>
        <w:rPr>
          <w:rStyle w:val="6"/>
          <w:rFonts w:ascii="仿宋_GB2312" w:eastAsia="仿宋_GB2312"/>
          <w:b w:val="0"/>
          <w:sz w:val="32"/>
          <w:szCs w:val="32"/>
        </w:rPr>
      </w:pPr>
      <w:r>
        <w:rPr>
          <w:rStyle w:val="6"/>
          <w:rFonts w:hint="eastAsia" w:ascii="仿宋_GB2312" w:eastAsia="仿宋_GB2312"/>
          <w:sz w:val="32"/>
          <w:szCs w:val="32"/>
        </w:rPr>
        <w:t>第二条</w:t>
      </w:r>
      <w:r>
        <w:rPr>
          <w:rStyle w:val="6"/>
          <w:rFonts w:hint="eastAsia" w:ascii="仿宋_GB2312" w:eastAsia="仿宋_GB2312"/>
          <w:b w:val="0"/>
          <w:sz w:val="32"/>
          <w:szCs w:val="32"/>
        </w:rPr>
        <w:t xml:space="preserve"> 大赛组委会负责大赛统筹领导工作，包括大赛的宣传组织、执行推进、沟通协调、评审推荐等工作。</w:t>
      </w:r>
    </w:p>
    <w:p>
      <w:pPr>
        <w:spacing w:line="560" w:lineRule="exact"/>
        <w:ind w:firstLine="643" w:firstLineChars="200"/>
        <w:rPr>
          <w:rStyle w:val="6"/>
          <w:rFonts w:ascii="仿宋_GB2312" w:eastAsia="仿宋_GB2312"/>
          <w:b w:val="0"/>
          <w:sz w:val="32"/>
          <w:szCs w:val="32"/>
        </w:rPr>
      </w:pPr>
      <w:r>
        <w:rPr>
          <w:rStyle w:val="6"/>
          <w:rFonts w:hint="eastAsia" w:ascii="仿宋_GB2312" w:eastAsia="仿宋_GB2312"/>
          <w:sz w:val="32"/>
          <w:szCs w:val="32"/>
        </w:rPr>
        <w:t>第三条</w:t>
      </w:r>
      <w:r>
        <w:rPr>
          <w:rStyle w:val="6"/>
          <w:rFonts w:hint="eastAsia" w:ascii="仿宋_GB2312" w:eastAsia="仿宋_GB2312"/>
          <w:b w:val="0"/>
          <w:sz w:val="32"/>
          <w:szCs w:val="32"/>
        </w:rPr>
        <w:t xml:space="preserve"> 各二级学院成立院级大赛工作组，并指定专人配合学校大赛组委会完成大赛相关工作。</w:t>
      </w:r>
    </w:p>
    <w:p>
      <w:pPr>
        <w:spacing w:line="560" w:lineRule="exact"/>
        <w:ind w:firstLine="643" w:firstLineChars="200"/>
        <w:rPr>
          <w:rFonts w:ascii="仿宋_GB2312" w:hAnsi="仿宋_GB2312" w:eastAsia="仿宋_GB2312" w:cs="仿宋_GB2312"/>
          <w:sz w:val="32"/>
          <w:szCs w:val="32"/>
        </w:rPr>
      </w:pPr>
      <w:r>
        <w:rPr>
          <w:rStyle w:val="6"/>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rPr>
        <w:t xml:space="preserve"> 各二级学院大赛工作组负责院级赛事的组织、实施、协调、项目指导和监督检查等工作，做好大赛的宣传动员和组织工作，积极发动教师、学生、校友报名参赛，以在校生和毕业五年内的创业校友组队参赛为重点实现竞赛获奖层次的突破，充分挖掘具有市场前景和竞争力的项目，鼓励教师依托科技成果转化带领学生创新创业，充分调动毕业五年内的创业校友带领在校生组队参赛。</w:t>
      </w:r>
    </w:p>
    <w:p>
      <w:pPr>
        <w:spacing w:before="312" w:beforeLines="100" w:after="312" w:afterLines="100" w:line="560" w:lineRule="exact"/>
        <w:jc w:val="center"/>
        <w:rPr>
          <w:rStyle w:val="6"/>
          <w:rFonts w:ascii="黑体" w:hAnsi="黑体" w:eastAsia="黑体" w:cs="黑体"/>
          <w:b w:val="0"/>
          <w:bCs w:val="0"/>
          <w:sz w:val="32"/>
          <w:szCs w:val="32"/>
        </w:rPr>
      </w:pPr>
      <w:r>
        <w:rPr>
          <w:rStyle w:val="6"/>
          <w:rFonts w:hint="eastAsia" w:ascii="黑体" w:hAnsi="黑体" w:eastAsia="黑体" w:cs="黑体"/>
          <w:b w:val="0"/>
          <w:bCs w:val="0"/>
          <w:sz w:val="32"/>
          <w:szCs w:val="32"/>
        </w:rPr>
        <w:t>第二章 指导教师激励措施</w:t>
      </w:r>
    </w:p>
    <w:p>
      <w:pPr>
        <w:spacing w:line="560" w:lineRule="exact"/>
        <w:ind w:firstLine="643" w:firstLineChars="200"/>
        <w:jc w:val="left"/>
        <w:rPr>
          <w:rFonts w:ascii="仿宋_GB2312" w:hAnsi="仿宋_GB2312" w:eastAsia="仿宋_GB2312" w:cs="仿宋_GB2312"/>
          <w:sz w:val="32"/>
          <w:szCs w:val="32"/>
        </w:rPr>
      </w:pPr>
      <w:r>
        <w:rPr>
          <w:rStyle w:val="6"/>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rPr>
        <w:t xml:space="preserve"> 指导学生在大赛中获得校级、省级和国家级奖项的，按《广东工程职业技术学院各类工作补助及奖励标准》给予教师团队奖励。</w:t>
      </w:r>
    </w:p>
    <w:p>
      <w:pPr>
        <w:spacing w:line="560" w:lineRule="exact"/>
        <w:ind w:firstLine="643" w:firstLineChars="200"/>
        <w:rPr>
          <w:rStyle w:val="6"/>
          <w:rFonts w:ascii="仿宋_GB2312" w:eastAsia="仿宋_GB2312"/>
          <w:b w:val="0"/>
          <w:sz w:val="32"/>
          <w:szCs w:val="32"/>
        </w:rPr>
      </w:pPr>
      <w:r>
        <w:rPr>
          <w:rStyle w:val="6"/>
          <w:rFonts w:hint="eastAsia" w:ascii="仿宋_GB2312" w:eastAsia="仿宋_GB2312"/>
          <w:sz w:val="32"/>
          <w:szCs w:val="32"/>
        </w:rPr>
        <w:t>第六条</w:t>
      </w:r>
      <w:r>
        <w:rPr>
          <w:rStyle w:val="6"/>
          <w:rFonts w:hint="eastAsia" w:ascii="仿宋_GB2312" w:eastAsia="仿宋_GB2312"/>
          <w:b w:val="0"/>
          <w:sz w:val="32"/>
          <w:szCs w:val="32"/>
        </w:rPr>
        <w:t xml:space="preserve"> 指导大赛获国家级金奖、银奖的教师，参照省教学成果奖一等奖、二等奖的级别同等对待。并在年度考核、评优评奖等方面给予倾斜。</w:t>
      </w:r>
    </w:p>
    <w:p>
      <w:pPr>
        <w:spacing w:line="560" w:lineRule="exact"/>
        <w:ind w:firstLine="643" w:firstLineChars="200"/>
        <w:rPr>
          <w:rStyle w:val="6"/>
          <w:rFonts w:ascii="仿宋_GB2312" w:eastAsia="仿宋_GB2312"/>
          <w:b w:val="0"/>
          <w:sz w:val="32"/>
          <w:szCs w:val="32"/>
        </w:rPr>
      </w:pPr>
      <w:r>
        <w:rPr>
          <w:rStyle w:val="6"/>
          <w:rFonts w:hint="eastAsia" w:ascii="仿宋_GB2312" w:eastAsia="仿宋_GB2312"/>
          <w:sz w:val="32"/>
          <w:szCs w:val="32"/>
        </w:rPr>
        <w:t>第七条</w:t>
      </w:r>
      <w:r>
        <w:rPr>
          <w:rStyle w:val="6"/>
          <w:rFonts w:hint="eastAsia" w:ascii="仿宋_GB2312" w:eastAsia="仿宋_GB2312"/>
          <w:b w:val="0"/>
          <w:sz w:val="32"/>
          <w:szCs w:val="32"/>
        </w:rPr>
        <w:t xml:space="preserve"> 指导学生团队获得大赛省级以上奖项的指导教师，授予“广东工程职业技术学院创新创业优秀指导教师”荣誉称号。</w:t>
      </w:r>
    </w:p>
    <w:p>
      <w:pPr>
        <w:spacing w:before="312" w:beforeLines="100" w:after="312" w:afterLines="100" w:line="560" w:lineRule="exact"/>
        <w:jc w:val="center"/>
        <w:rPr>
          <w:rStyle w:val="6"/>
          <w:rFonts w:ascii="黑体" w:hAnsi="黑体" w:eastAsia="黑体" w:cs="黑体"/>
          <w:b w:val="0"/>
          <w:bCs w:val="0"/>
          <w:sz w:val="32"/>
          <w:szCs w:val="32"/>
        </w:rPr>
      </w:pPr>
      <w:r>
        <w:rPr>
          <w:rStyle w:val="6"/>
          <w:rFonts w:hint="eastAsia" w:ascii="黑体" w:hAnsi="黑体" w:eastAsia="黑体" w:cs="黑体"/>
          <w:b w:val="0"/>
          <w:bCs w:val="0"/>
          <w:sz w:val="32"/>
          <w:szCs w:val="32"/>
        </w:rPr>
        <w:t>第三章 参赛学生激励措施</w:t>
      </w:r>
    </w:p>
    <w:p>
      <w:pPr>
        <w:spacing w:line="560" w:lineRule="exact"/>
        <w:ind w:firstLine="643" w:firstLineChars="200"/>
        <w:rPr>
          <w:rFonts w:ascii="仿宋_GB2312" w:hAnsi="仿宋_GB2312" w:eastAsia="仿宋_GB2312" w:cs="仿宋_GB2312"/>
          <w:sz w:val="32"/>
          <w:szCs w:val="32"/>
        </w:rPr>
      </w:pPr>
      <w:r>
        <w:rPr>
          <w:rStyle w:val="6"/>
          <w:rFonts w:hint="eastAsia" w:ascii="仿宋_GB2312" w:hAnsi="仿宋_GB2312" w:eastAsia="仿宋_GB2312" w:cs="仿宋_GB2312"/>
          <w:sz w:val="32"/>
          <w:szCs w:val="32"/>
        </w:rPr>
        <w:t xml:space="preserve">第八条 </w:t>
      </w:r>
      <w:r>
        <w:rPr>
          <w:rFonts w:hint="eastAsia" w:ascii="仿宋_GB2312" w:hAnsi="仿宋_GB2312" w:eastAsia="仿宋_GB2312" w:cs="仿宋_GB2312"/>
          <w:sz w:val="32"/>
          <w:szCs w:val="32"/>
        </w:rPr>
        <w:t>凡在大赛中获得省级铜奖及以上的学生项目团队，参照《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ADDIN CNKISM.UserStyle</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广东工程职业技术学院学生技能竞赛管理办法》一类竞赛的标准给予奖励:</w:t>
      </w:r>
    </w:p>
    <w:p>
      <w:pPr>
        <w:spacing w:line="580" w:lineRule="exact"/>
        <w:ind w:firstLine="640" w:firstLineChars="200"/>
        <w:rPr>
          <w:rFonts w:ascii="仿宋_GB2312" w:hAnsi="仿宋" w:eastAsia="仿宋_GB2312" w:cs="仿宋"/>
          <w:sz w:val="32"/>
          <w:szCs w:val="32"/>
        </w:rPr>
      </w:pPr>
    </w:p>
    <w:tbl>
      <w:tblPr>
        <w:tblStyle w:val="4"/>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1701"/>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127" w:type="dxa"/>
            <w:gridSpan w:val="2"/>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获奖级别</w:t>
            </w:r>
          </w:p>
        </w:tc>
        <w:tc>
          <w:tcPr>
            <w:tcW w:w="1701" w:type="dxa"/>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国赛</w:t>
            </w:r>
          </w:p>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（元/人）</w:t>
            </w:r>
          </w:p>
        </w:tc>
        <w:tc>
          <w:tcPr>
            <w:tcW w:w="1559" w:type="dxa"/>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省赛</w:t>
            </w:r>
          </w:p>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（元/人）</w:t>
            </w:r>
          </w:p>
        </w:tc>
        <w:tc>
          <w:tcPr>
            <w:tcW w:w="2835" w:type="dxa"/>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一类</w:t>
            </w:r>
          </w:p>
        </w:tc>
        <w:tc>
          <w:tcPr>
            <w:tcW w:w="1418" w:type="dxa"/>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金奖</w:t>
            </w:r>
          </w:p>
        </w:tc>
        <w:tc>
          <w:tcPr>
            <w:tcW w:w="1701" w:type="dxa"/>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10000</w:t>
            </w:r>
          </w:p>
        </w:tc>
        <w:tc>
          <w:tcPr>
            <w:tcW w:w="1559" w:type="dxa"/>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2000</w:t>
            </w:r>
          </w:p>
        </w:tc>
        <w:tc>
          <w:tcPr>
            <w:tcW w:w="2835" w:type="dxa"/>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证书、奖品奖励为主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9" w:type="dxa"/>
            <w:vMerge w:val="continue"/>
            <w:vAlign w:val="center"/>
          </w:tcPr>
          <w:p>
            <w:pPr>
              <w:spacing w:line="560" w:lineRule="atLeast"/>
              <w:rPr>
                <w:rFonts w:ascii="仿宋_GB2312" w:hAnsi="仿宋" w:eastAsia="仿宋_GB2312" w:cs="仿宋"/>
                <w:sz w:val="28"/>
                <w:szCs w:val="28"/>
              </w:rPr>
            </w:pPr>
          </w:p>
        </w:tc>
        <w:tc>
          <w:tcPr>
            <w:tcW w:w="1418" w:type="dxa"/>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银奖</w:t>
            </w:r>
          </w:p>
        </w:tc>
        <w:tc>
          <w:tcPr>
            <w:tcW w:w="1701" w:type="dxa"/>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7000</w:t>
            </w:r>
          </w:p>
        </w:tc>
        <w:tc>
          <w:tcPr>
            <w:tcW w:w="1559" w:type="dxa"/>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1500</w:t>
            </w:r>
          </w:p>
        </w:tc>
        <w:tc>
          <w:tcPr>
            <w:tcW w:w="2835" w:type="dxa"/>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证书、奖品奖励为主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line="560" w:lineRule="atLeast"/>
              <w:rPr>
                <w:rFonts w:ascii="仿宋_GB2312" w:hAnsi="仿宋" w:eastAsia="仿宋_GB2312" w:cs="仿宋"/>
                <w:sz w:val="28"/>
                <w:szCs w:val="28"/>
              </w:rPr>
            </w:pPr>
          </w:p>
        </w:tc>
        <w:tc>
          <w:tcPr>
            <w:tcW w:w="1418" w:type="dxa"/>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铜奖</w:t>
            </w:r>
          </w:p>
        </w:tc>
        <w:tc>
          <w:tcPr>
            <w:tcW w:w="1701" w:type="dxa"/>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5000</w:t>
            </w:r>
          </w:p>
        </w:tc>
        <w:tc>
          <w:tcPr>
            <w:tcW w:w="1559" w:type="dxa"/>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1000</w:t>
            </w:r>
          </w:p>
        </w:tc>
        <w:tc>
          <w:tcPr>
            <w:tcW w:w="2835" w:type="dxa"/>
            <w:vAlign w:val="center"/>
          </w:tcPr>
          <w:p>
            <w:pPr>
              <w:spacing w:line="560" w:lineRule="atLeast"/>
              <w:jc w:val="center"/>
              <w:rPr>
                <w:rFonts w:ascii="仿宋_GB2312" w:hAnsi="仿宋" w:eastAsia="仿宋_GB2312" w:cs="仿宋"/>
                <w:sz w:val="28"/>
                <w:szCs w:val="28"/>
              </w:rPr>
            </w:pPr>
            <w:r>
              <w:rPr>
                <w:rFonts w:hint="eastAsia" w:ascii="仿宋_GB2312" w:hAnsi="仿宋" w:eastAsia="仿宋_GB2312" w:cs="仿宋"/>
                <w:sz w:val="28"/>
                <w:szCs w:val="28"/>
              </w:rPr>
              <w:t>证书、奖品奖励为主</w:t>
            </w:r>
          </w:p>
        </w:tc>
      </w:tr>
    </w:tbl>
    <w:p>
      <w:pPr>
        <w:spacing w:line="560" w:lineRule="exact"/>
        <w:ind w:left="778" w:leftChars="136" w:hanging="492" w:hangingChars="176"/>
        <w:rPr>
          <w:rStyle w:val="6"/>
          <w:rFonts w:ascii="仿宋_GB2312" w:eastAsia="仿宋_GB2312"/>
          <w:b w:val="0"/>
          <w:sz w:val="28"/>
          <w:szCs w:val="32"/>
        </w:rPr>
      </w:pPr>
      <w:r>
        <w:rPr>
          <w:rStyle w:val="6"/>
          <w:rFonts w:hint="eastAsia" w:ascii="仿宋_GB2312" w:eastAsia="仿宋_GB2312"/>
          <w:b w:val="0"/>
          <w:sz w:val="28"/>
          <w:szCs w:val="32"/>
        </w:rPr>
        <w:t>注：同一项目参加各级比赛，以最高奖项奖励，不重复或叠加奖励。奖金按个人发放，团队成员超过5人的按最高5人的标准发放奖金（每个成员具体奖金分配由获奖项目指导老师和团队负责人协商决定）。</w:t>
      </w:r>
    </w:p>
    <w:p>
      <w:pPr>
        <w:spacing w:line="560" w:lineRule="exact"/>
        <w:ind w:firstLine="640" w:firstLineChars="200"/>
        <w:rPr>
          <w:rStyle w:val="6"/>
          <w:rFonts w:ascii="仿宋_GB2312" w:eastAsia="仿宋_GB2312"/>
          <w:b w:val="0"/>
          <w:sz w:val="32"/>
          <w:szCs w:val="32"/>
        </w:rPr>
      </w:pPr>
    </w:p>
    <w:p>
      <w:pPr>
        <w:spacing w:line="560" w:lineRule="exact"/>
        <w:ind w:firstLine="643" w:firstLineChars="200"/>
        <w:rPr>
          <w:rStyle w:val="6"/>
          <w:rFonts w:ascii="仿宋_GB2312" w:eastAsia="仿宋_GB2312"/>
          <w:b w:val="0"/>
          <w:sz w:val="32"/>
          <w:szCs w:val="32"/>
        </w:rPr>
      </w:pPr>
      <w:r>
        <w:rPr>
          <w:rStyle w:val="6"/>
          <w:rFonts w:hint="eastAsia" w:ascii="仿宋_GB2312" w:eastAsia="仿宋_GB2312"/>
          <w:sz w:val="32"/>
          <w:szCs w:val="32"/>
        </w:rPr>
        <w:t>第九条</w:t>
      </w:r>
      <w:r>
        <w:rPr>
          <w:rStyle w:val="6"/>
          <w:rFonts w:hint="eastAsia" w:ascii="仿宋_GB2312" w:eastAsia="仿宋_GB2312"/>
          <w:b w:val="0"/>
          <w:sz w:val="32"/>
          <w:szCs w:val="32"/>
        </w:rPr>
        <w:t xml:space="preserve"> 凡在大赛中获得省级铜奖及以上的项目团队，所有团队成员均可获得1个创新创业实践学分。</w:t>
      </w:r>
    </w:p>
    <w:p>
      <w:pPr>
        <w:spacing w:line="560" w:lineRule="exact"/>
        <w:ind w:firstLine="643" w:firstLineChars="200"/>
        <w:rPr>
          <w:rStyle w:val="6"/>
          <w:rFonts w:ascii="仿宋_GB2312" w:eastAsia="仿宋_GB2312"/>
          <w:b w:val="0"/>
          <w:sz w:val="32"/>
          <w:szCs w:val="32"/>
        </w:rPr>
      </w:pPr>
      <w:r>
        <w:rPr>
          <w:rStyle w:val="6"/>
          <w:rFonts w:hint="eastAsia" w:ascii="仿宋_GB2312" w:eastAsia="仿宋_GB2312"/>
          <w:sz w:val="32"/>
          <w:szCs w:val="32"/>
        </w:rPr>
        <w:t>第十条</w:t>
      </w:r>
      <w:r>
        <w:rPr>
          <w:rStyle w:val="6"/>
          <w:rFonts w:hint="eastAsia" w:ascii="仿宋_GB2312" w:eastAsia="仿宋_GB2312"/>
          <w:b w:val="0"/>
          <w:sz w:val="32"/>
          <w:szCs w:val="32"/>
        </w:rPr>
        <w:t xml:space="preserve"> 凡在大赛中获得省级铜奖及以上项目团队的学生负责人，创业项目优先入驻学校大学生创业孵化基地（大学生创业园），优先入选大学生创新创业训练计划项目。</w:t>
      </w:r>
    </w:p>
    <w:p>
      <w:pPr>
        <w:spacing w:line="560" w:lineRule="exact"/>
        <w:ind w:firstLine="643" w:firstLineChars="200"/>
        <w:rPr>
          <w:rStyle w:val="6"/>
          <w:rFonts w:ascii="仿宋_GB2312" w:eastAsia="仿宋_GB2312"/>
          <w:b w:val="0"/>
          <w:sz w:val="32"/>
          <w:szCs w:val="32"/>
        </w:rPr>
      </w:pPr>
      <w:r>
        <w:rPr>
          <w:rStyle w:val="6"/>
          <w:rFonts w:hint="eastAsia" w:ascii="仿宋_GB2312" w:eastAsia="仿宋_GB2312"/>
          <w:sz w:val="32"/>
          <w:szCs w:val="32"/>
        </w:rPr>
        <w:t>第十一条</w:t>
      </w:r>
      <w:r>
        <w:rPr>
          <w:rStyle w:val="6"/>
          <w:rFonts w:hint="eastAsia" w:ascii="仿宋_GB2312" w:eastAsia="仿宋_GB2312"/>
          <w:b w:val="0"/>
          <w:sz w:val="32"/>
          <w:szCs w:val="32"/>
        </w:rPr>
        <w:t xml:space="preserve"> 各学院对参加大赛并获省级铜奖及以上的同学在参加各级各类评优评选的时候予以倾斜，在同等条件下优先考虑。</w:t>
      </w:r>
    </w:p>
    <w:p>
      <w:pPr>
        <w:spacing w:line="560" w:lineRule="exact"/>
        <w:ind w:firstLine="643" w:firstLineChars="200"/>
        <w:rPr>
          <w:rStyle w:val="6"/>
          <w:rFonts w:ascii="仿宋_GB2312" w:eastAsia="仿宋_GB2312"/>
          <w:b w:val="0"/>
          <w:sz w:val="32"/>
          <w:szCs w:val="32"/>
        </w:rPr>
      </w:pPr>
      <w:r>
        <w:rPr>
          <w:rStyle w:val="6"/>
          <w:rFonts w:hint="eastAsia" w:ascii="仿宋_GB2312" w:eastAsia="仿宋_GB2312"/>
          <w:sz w:val="32"/>
          <w:szCs w:val="32"/>
        </w:rPr>
        <w:t>第十二条</w:t>
      </w:r>
      <w:r>
        <w:rPr>
          <w:rStyle w:val="6"/>
          <w:rFonts w:hint="eastAsia" w:ascii="仿宋_GB2312" w:eastAsia="仿宋_GB2312"/>
          <w:b w:val="0"/>
          <w:sz w:val="32"/>
          <w:szCs w:val="32"/>
        </w:rPr>
        <w:t xml:space="preserve"> 凡在大赛中获得国赛金、银奖的项目负责人优先推荐参评广东省大学生“年度人物”和“广东省优秀学生”。</w:t>
      </w:r>
    </w:p>
    <w:p>
      <w:pPr>
        <w:spacing w:before="312" w:beforeLines="100" w:after="312" w:afterLines="100" w:line="560" w:lineRule="exact"/>
        <w:jc w:val="center"/>
        <w:rPr>
          <w:rStyle w:val="6"/>
          <w:rFonts w:ascii="黑体" w:hAnsi="黑体" w:eastAsia="黑体" w:cs="黑体"/>
          <w:b w:val="0"/>
          <w:bCs w:val="0"/>
          <w:sz w:val="32"/>
          <w:szCs w:val="32"/>
        </w:rPr>
      </w:pPr>
      <w:r>
        <w:rPr>
          <w:rStyle w:val="6"/>
          <w:rFonts w:hint="eastAsia" w:ascii="黑体" w:hAnsi="黑体" w:eastAsia="黑体" w:cs="黑体"/>
          <w:b w:val="0"/>
          <w:bCs w:val="0"/>
          <w:sz w:val="32"/>
          <w:szCs w:val="32"/>
        </w:rPr>
        <w:t>第四章 附则</w:t>
      </w:r>
    </w:p>
    <w:p>
      <w:pPr>
        <w:spacing w:line="560" w:lineRule="exact"/>
        <w:ind w:firstLine="643" w:firstLineChars="200"/>
        <w:rPr>
          <w:rStyle w:val="6"/>
          <w:rFonts w:ascii="仿宋_GB2312" w:eastAsia="仿宋_GB2312"/>
          <w:b w:val="0"/>
          <w:sz w:val="32"/>
          <w:szCs w:val="32"/>
        </w:rPr>
      </w:pPr>
      <w:r>
        <w:rPr>
          <w:rStyle w:val="6"/>
          <w:rFonts w:hint="eastAsia" w:ascii="仿宋_GB2312" w:eastAsia="仿宋_GB2312"/>
          <w:sz w:val="32"/>
          <w:szCs w:val="32"/>
        </w:rPr>
        <w:t>第十三条</w:t>
      </w:r>
      <w:r>
        <w:rPr>
          <w:rStyle w:val="6"/>
          <w:rFonts w:hint="eastAsia" w:ascii="仿宋_GB2312" w:eastAsia="仿宋_GB2312"/>
          <w:b w:val="0"/>
          <w:sz w:val="32"/>
          <w:szCs w:val="32"/>
        </w:rPr>
        <w:t xml:space="preserve"> 本办法中的学生团队必须代表广东工程职业技术学院参赛。</w:t>
      </w:r>
    </w:p>
    <w:p>
      <w:pPr>
        <w:spacing w:line="560" w:lineRule="exact"/>
        <w:ind w:firstLine="643" w:firstLineChars="200"/>
        <w:rPr>
          <w:rStyle w:val="6"/>
          <w:rFonts w:ascii="仿宋_GB2312" w:eastAsia="仿宋_GB2312"/>
          <w:b w:val="0"/>
          <w:sz w:val="32"/>
          <w:szCs w:val="32"/>
        </w:rPr>
      </w:pPr>
      <w:r>
        <w:rPr>
          <w:rStyle w:val="6"/>
          <w:rFonts w:hint="eastAsia" w:ascii="仿宋_GB2312" w:eastAsia="仿宋_GB2312"/>
          <w:sz w:val="32"/>
          <w:szCs w:val="32"/>
        </w:rPr>
        <w:t>第十四条</w:t>
      </w:r>
      <w:r>
        <w:rPr>
          <w:rStyle w:val="6"/>
          <w:rFonts w:hint="eastAsia" w:ascii="仿宋_GB2312" w:eastAsia="仿宋_GB2312"/>
          <w:b w:val="0"/>
          <w:sz w:val="32"/>
          <w:szCs w:val="32"/>
        </w:rPr>
        <w:t xml:space="preserve"> 本办法自公布之日起开始施行，由广东工程职业技术学院中国国际“互联网+”大学生创新创业大赛组委会负责解释。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ZDBkN2Q2MTZlZTlhOWI3MmYzM2MzMzg2OGZlOTgifQ=="/>
  </w:docVars>
  <w:rsids>
    <w:rsidRoot w:val="77027EBA"/>
    <w:rsid w:val="28107A92"/>
    <w:rsid w:val="6E0830A8"/>
    <w:rsid w:val="7702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ind w:left="100" w:leftChars="100" w:right="100" w:rightChars="100"/>
      <w:contextualSpacing/>
      <w:jc w:val="center"/>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2132</Words>
  <Characters>2152</Characters>
  <Lines>0</Lines>
  <Paragraphs>0</Paragraphs>
  <TotalTime>2</TotalTime>
  <ScaleCrop>false</ScaleCrop>
  <LinksUpToDate>false</LinksUpToDate>
  <CharactersWithSpaces>2262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2022-11-02T14:35:00Z</dcterms:created>
  <dc:creator>NTKO</dc:creator>
  <cp:lastModifiedBy>NTKO</cp:lastModifiedBy>
  <dcterms:modified xsi:type="dcterms:W3CDTF">2022-11-02T15:34:33Z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B7B1F874324D44789522559EAE6C190D</vt:lpwstr>
  </property>
</Properties>
</file>